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9B" w:rsidRPr="005E482D" w:rsidRDefault="005E482D" w:rsidP="005E482D">
      <w:pPr>
        <w:jc w:val="center"/>
        <w:rPr>
          <w:rFonts w:ascii="方正小标宋简体" w:eastAsia="方正小标宋简体" w:hint="eastAsia"/>
          <w:sz w:val="32"/>
          <w:szCs w:val="32"/>
        </w:rPr>
      </w:pPr>
      <w:r w:rsidRPr="005E482D">
        <w:rPr>
          <w:rFonts w:ascii="方正小标宋简体" w:eastAsia="方正小标宋简体" w:hint="eastAsia"/>
          <w:sz w:val="32"/>
          <w:szCs w:val="32"/>
        </w:rPr>
        <w:t>最高法发布《关于审理预付式消费民事纠纷案件适用法律若干问题的解释》</w:t>
      </w:r>
    </w:p>
    <w:p w:rsidR="005E482D" w:rsidRDefault="005E482D" w:rsidP="00577633">
      <w:pPr>
        <w:rPr>
          <w:rFonts w:hint="eastAsia"/>
          <w:szCs w:val="30"/>
        </w:rPr>
      </w:pP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《最高人民法院关于审理预付式消费民事纠纷案件适用法律若干问题的解释》（以下简称《解释》）已于2024年11月18日由最高人民法院审判委员会第1932次会议审议通过，将自2025年5月1日起施行。</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一、《解释》的制定背景和起草过程</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党的二十大报告指出，着力扩大内需，增强消费对经济发展的基础性作用和投资对优化供给结构的关键作用。党的二十届三中全会提出，完善激发社会资本投资活力和促进投资落地机制，完善扩大消费长效机制。2024年中央经济工作会议将“大力提振消费，提高投资效益，全方位扩大国内需求”作为今年的重点任务。今年3月中央发布的《提振消费专项行动方案》提出，以高质量供给创造有效需求，以优化消费环境增强消费意愿，针对性解决制约消费的突出矛盾问题。为深入贯彻落实党中央决策部署，充分发挥预付式消费缓解经营资金困难、促进投资和降低消费成本、促进消费的作用，打通消费堵点，回应社会关切，最高人民法院制定并发布《解释》。《解释》起草过程中多次征求有关国家机关、专家学者、部分消费者和生产经营者等各方意见，并于2024年6月6日向社会公开征求意见。在综合各方意见的基础上，经过多次论证、修改，经最高人民法院审判委员会审议通过。</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二、《解释》起草的基本原则和思路</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lastRenderedPageBreak/>
        <w:t>在起草《解释》过程中，最高人民法院坚持贯彻落实党中央关于提振消费、促进投资、扩大内需的决策部署，助力形成消费和投资相互促进的良性循环，助推消费品质提升行动；立足立法精神，遵循立法本意，确保《解释》符合相关立法宗旨和目的；坚持问题导向，解决人民群众反映集中的“卷款跑路”、“霸王条款”、收款不退等问题。正确处理保护消费者合法权益与促进经济持续健康发展的关系、保护合同自由和实现合同公平的关系、加强权利保护与促进诚实守信的关系以及司法审判与行政监管的关系。</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三、《解释》的主要内容</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《解释》共27条，就适用范围、责任主体认定，合同的解释、效力和解除，预付款的返还和赔偿责任、“卷款跑路”的责任，经营者提供其控制证据的责任等问题作出规定，主要内容包括：</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一是明确《解释》的适用范围。除《解释》第一条列举的生活消费领域外，家政、养生、托育等生活消费领域产生的预付式消费纠纷也适用《解释》，但消费者付款后一次性接收商品或接受服务以及多用途预付卡产生的纠纷不适用《解释》。</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二是明确常见预付式消费交易模式下的责任主体。《解释》第四条规定，经营者虽未签订预付式消费合同，但允许他人使用其营业执照或者以其他方式允许他人使用其名义与消费者订立预付式消费合同的，应依法承担责任，解决经营者“名实不符”情况下的责任主体认定问题。第六条明确商场场地出租者对租赁场地经营者资质的形式审查义务和过错责任，解决租赁商场场地的经营者收款“跑路”后应</w:t>
      </w:r>
      <w:r w:rsidRPr="005E482D">
        <w:rPr>
          <w:rFonts w:ascii="仿宋" w:eastAsia="仿宋" w:hAnsi="仿宋" w:hint="eastAsia"/>
          <w:sz w:val="28"/>
          <w:szCs w:val="28"/>
        </w:rPr>
        <w:lastRenderedPageBreak/>
        <w:t>找谁担责的问题。适用本条规定时，应当严格依法，避免不当加重商场场地出租者责任。</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三是明确规制“霸王条款”。《解释》第九条规定，收款不退、丢卡不补、限制转卡等“霸王条款”应依法认定无效。针对合同格式条款约定仲裁，但仲裁机构仲裁费最低收费标准远高于消费者支付的预付款，妨碍消费者获得权利救济问题，《解释》规定，约定解决争议方法不合理增加消费者维权成本的“霸王条款”无效。</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四是保护消费者依法转让预付卡的权利。《解释》第十一条规定，消费者转让预付卡只需通知经营者即对经营者发生效力；同时明确消费者转让不限服务次数的计时卡时，不应违反诚实信用原则，以债权转让的名义让多名消费者行使本应由一名消费者行使的权利，规制滥用权利行为，保护经营者权益。</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五是规定消费者解除预付式消费合同的权利。《解释》第十三条规定，经营者“迁店”给消费者接受商品或者服务造成明显不便、未经消费者同意将合同义务转让给第三人、出售不限消费次数的计时卡却不能正常提供服务等情况下，消费者有权解除合同。消费者因身体健康等自身客观原因致使继续履行合同对其明显不公平的，有权依法解除合同。</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六是明确消费者七日无理由退款的权利。《解释》第十四条规定，消费者自付款之日起七日内有权请求经营者返还预付款本金，解决消费者与经营者之间信息不对称问题，规制过度劝诱、欺诈营销行为，引导经营者通过提高商品和服务质量来吸引消费者，但也同时规定了</w:t>
      </w:r>
      <w:r w:rsidRPr="005E482D">
        <w:rPr>
          <w:rFonts w:ascii="仿宋" w:eastAsia="仿宋" w:hAnsi="仿宋" w:hint="eastAsia"/>
          <w:sz w:val="28"/>
          <w:szCs w:val="28"/>
        </w:rPr>
        <w:lastRenderedPageBreak/>
        <w:t>例外情形，消费者订立预付式消费合同时已获得过相同商品或者服务的，不能七日无理由退款。</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七是规定当事人赔偿损失责任。《解释》第十五条对预付式消费合同解除等情况下当事人的赔偿损失责任作了规定，并明确经营者支付给员工等人员的预付款提成不属于消费者应当赔偿的合理费用，目的是遏制经营者“套路式、劝诱式”营销，规制“重售卡、轻服务”的不诚信行为。</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八是规定返还预付款的规则。《解释》区分消费者原因和非消费者原因导致的退款，并在退款金额计算、退款利率确定等方面分别作出对经营者和消费者有利的规定，引导双方当事人诚实守信、遵守合同。例如，如果因经营者原因退款，应按折扣价、合同约定的优惠比例计算已兑付商品或者提供服务的价款，并按照合同成立时一年期贷款市场报价利率计算利息，应返还消费者的预付款本金和利息就会更多。</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九是规制“卷款跑路”行为。《解释》第二十三条规定，经营者收取预付款后终止营业，既不按照约定兑付商品或者提供服务又恶意逃避消费者申请退款，构成欺诈的，应当依照消费者权益保护法的相关规定承担惩罚性赔偿责任；涉嫌刑事犯罪的，应当将犯罪线索移送公安机关，依法追究刑事责任。通过严肃追责打击遏制“卷款跑路”行为。</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十是明确经营者提交其控制证据的责任。预付式消费合同文本或者记录消费内容、次数、金额及预付款余额等信息的证据通常由经营</w:t>
      </w:r>
      <w:r w:rsidRPr="005E482D">
        <w:rPr>
          <w:rFonts w:ascii="仿宋" w:eastAsia="仿宋" w:hAnsi="仿宋" w:hint="eastAsia"/>
          <w:sz w:val="28"/>
          <w:szCs w:val="28"/>
        </w:rPr>
        <w:lastRenderedPageBreak/>
        <w:t>者控制，消费者面临“举证难”的问题。《解释》第二十五条规定，如果经营者控制上述证据却无正当理由拒不提交，可以根据消费者的主张认定争议事实。</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与《解释》一同发布的还有6个涉预付式消费典型案例。案例体现了《解释》的司法理念和裁判规则，是对《解释》规定的生动诠释，有助于人民群众理解《解释》内容；并对当前引起社会关注的“背债人”帮助逃债、“职业闭店”等问题作了回应，引导经营者依法诚信经营。</w:t>
      </w:r>
    </w:p>
    <w:p w:rsidR="005E482D" w:rsidRPr="005E482D" w:rsidRDefault="005E482D" w:rsidP="005E482D">
      <w:pPr>
        <w:ind w:firstLineChars="200" w:firstLine="560"/>
        <w:rPr>
          <w:rFonts w:hint="eastAsia"/>
          <w:szCs w:val="30"/>
        </w:rPr>
      </w:pPr>
      <w:r w:rsidRPr="005E482D">
        <w:rPr>
          <w:rFonts w:ascii="仿宋" w:eastAsia="仿宋" w:hAnsi="仿宋" w:hint="eastAsia"/>
          <w:sz w:val="28"/>
          <w:szCs w:val="28"/>
        </w:rPr>
        <w:t>下一步，最高人民法院将继续加强与行政主管部门的沟通协作，有效规制预付式消费领域损害消费者权益、扰乱市场秩序的行为，通过发布典型案例等方式，引导经营者诚信经营，保护消费者权益，让人民群众拥有更多获得感、幸福感、安全感。</w:t>
      </w:r>
    </w:p>
    <w:p w:rsidR="005E482D" w:rsidRDefault="005E482D" w:rsidP="00577633">
      <w:pPr>
        <w:rPr>
          <w:rFonts w:hint="eastAsia"/>
          <w:szCs w:val="30"/>
        </w:rPr>
      </w:pPr>
    </w:p>
    <w:p w:rsidR="005E482D" w:rsidRDefault="005E482D" w:rsidP="00577633">
      <w:pPr>
        <w:rPr>
          <w:rFonts w:hint="eastAsia"/>
          <w:szCs w:val="30"/>
        </w:rPr>
      </w:pPr>
    </w:p>
    <w:p w:rsidR="005E482D" w:rsidRPr="005E482D" w:rsidRDefault="005E482D" w:rsidP="005E482D">
      <w:pPr>
        <w:jc w:val="center"/>
        <w:rPr>
          <w:rFonts w:ascii="方正小标宋简体" w:eastAsia="方正小标宋简体" w:hint="eastAsia"/>
          <w:sz w:val="36"/>
          <w:szCs w:val="36"/>
        </w:rPr>
      </w:pPr>
      <w:r w:rsidRPr="005E482D">
        <w:rPr>
          <w:rFonts w:ascii="方正小标宋简体" w:eastAsia="方正小标宋简体" w:hint="eastAsia"/>
          <w:sz w:val="36"/>
          <w:szCs w:val="36"/>
        </w:rPr>
        <w:t>最高人民法院关于审理预付式消费民事纠纷案件适用法律若干问题的解释</w:t>
      </w:r>
    </w:p>
    <w:p w:rsidR="005E482D" w:rsidRPr="005E482D" w:rsidRDefault="005E482D" w:rsidP="005E482D">
      <w:pPr>
        <w:jc w:val="center"/>
        <w:rPr>
          <w:rFonts w:hint="eastAsia"/>
          <w:sz w:val="28"/>
          <w:szCs w:val="28"/>
        </w:rPr>
      </w:pPr>
      <w:r w:rsidRPr="005E482D">
        <w:rPr>
          <w:rFonts w:hint="eastAsia"/>
          <w:sz w:val="28"/>
          <w:szCs w:val="28"/>
        </w:rPr>
        <w:t>（</w:t>
      </w:r>
      <w:r w:rsidRPr="005E482D">
        <w:rPr>
          <w:rFonts w:hint="eastAsia"/>
          <w:sz w:val="28"/>
          <w:szCs w:val="28"/>
        </w:rPr>
        <w:t>2024</w:t>
      </w:r>
      <w:r w:rsidRPr="005E482D">
        <w:rPr>
          <w:rFonts w:hint="eastAsia"/>
          <w:sz w:val="28"/>
          <w:szCs w:val="28"/>
        </w:rPr>
        <w:t>年</w:t>
      </w:r>
      <w:r w:rsidRPr="005E482D">
        <w:rPr>
          <w:rFonts w:hint="eastAsia"/>
          <w:sz w:val="28"/>
          <w:szCs w:val="28"/>
        </w:rPr>
        <w:t>11</w:t>
      </w:r>
      <w:r w:rsidRPr="005E482D">
        <w:rPr>
          <w:rFonts w:hint="eastAsia"/>
          <w:sz w:val="28"/>
          <w:szCs w:val="28"/>
        </w:rPr>
        <w:t>月</w:t>
      </w:r>
      <w:r w:rsidRPr="005E482D">
        <w:rPr>
          <w:rFonts w:hint="eastAsia"/>
          <w:sz w:val="28"/>
          <w:szCs w:val="28"/>
        </w:rPr>
        <w:t>18</w:t>
      </w:r>
      <w:r w:rsidRPr="005E482D">
        <w:rPr>
          <w:rFonts w:hint="eastAsia"/>
          <w:sz w:val="28"/>
          <w:szCs w:val="28"/>
        </w:rPr>
        <w:t>日最高人民法院审判委员会第</w:t>
      </w:r>
      <w:r w:rsidRPr="005E482D">
        <w:rPr>
          <w:rFonts w:hint="eastAsia"/>
          <w:sz w:val="28"/>
          <w:szCs w:val="28"/>
        </w:rPr>
        <w:t>1932</w:t>
      </w:r>
      <w:r w:rsidRPr="005E482D">
        <w:rPr>
          <w:rFonts w:hint="eastAsia"/>
          <w:sz w:val="28"/>
          <w:szCs w:val="28"/>
        </w:rPr>
        <w:t>次会议通过，自</w:t>
      </w:r>
      <w:r w:rsidRPr="005E482D">
        <w:rPr>
          <w:rFonts w:hint="eastAsia"/>
          <w:sz w:val="28"/>
          <w:szCs w:val="28"/>
        </w:rPr>
        <w:t>2025</w:t>
      </w:r>
      <w:r w:rsidRPr="005E482D">
        <w:rPr>
          <w:rFonts w:hint="eastAsia"/>
          <w:sz w:val="28"/>
          <w:szCs w:val="28"/>
        </w:rPr>
        <w:t>年</w:t>
      </w:r>
      <w:r w:rsidRPr="005E482D">
        <w:rPr>
          <w:rFonts w:hint="eastAsia"/>
          <w:sz w:val="28"/>
          <w:szCs w:val="28"/>
        </w:rPr>
        <w:t>5</w:t>
      </w:r>
      <w:r w:rsidRPr="005E482D">
        <w:rPr>
          <w:rFonts w:hint="eastAsia"/>
          <w:sz w:val="28"/>
          <w:szCs w:val="28"/>
        </w:rPr>
        <w:t>月</w:t>
      </w:r>
      <w:r w:rsidRPr="005E482D">
        <w:rPr>
          <w:rFonts w:hint="eastAsia"/>
          <w:sz w:val="28"/>
          <w:szCs w:val="28"/>
        </w:rPr>
        <w:t>1</w:t>
      </w:r>
      <w:r w:rsidRPr="005E482D">
        <w:rPr>
          <w:rFonts w:hint="eastAsia"/>
          <w:sz w:val="28"/>
          <w:szCs w:val="28"/>
        </w:rPr>
        <w:t>日起施行）</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为正确审理预付式消费民事纠纷案件，保护消费者和经营者权益，根据《中华人民共和国民法典》《中华人民共和国消费者权益保护法》《中华人民共和国民事诉讼法》等法律规定，结合审判实践，制定本解释。</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第一条  在零售、住宿、餐饮、健身、出行、理发、美容、培训、</w:t>
      </w:r>
      <w:r w:rsidRPr="005E482D">
        <w:rPr>
          <w:rFonts w:ascii="仿宋" w:eastAsia="仿宋" w:hAnsi="仿宋" w:hint="eastAsia"/>
          <w:sz w:val="28"/>
          <w:szCs w:val="28"/>
        </w:rPr>
        <w:lastRenderedPageBreak/>
        <w:t>养老、旅游等生活消费领域，经营者收取预付款后多次或者持续向消费者兑付商品或者提供服务产生的纠纷适用本解释。</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第二条  不记名预付卡的持卡人起诉请求经营者承担民事责任的，人民法院应当依法受理。记名预付卡的实际持卡人与预付卡记载的持卡人不一致，但提供其系合法持卡人的初步证据，起诉请求经营者承担民事责任的，人民法院应当依法受理。</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消费者提供其与经营者存在预付式消费合同关系的其他初步证据，起诉请求经营者承担民事责任的，人民法院应当依法受理。</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第三条  监护人与经营者订立预付式消费合同，约定由经营者向被监护人兑付商品或者提供服务，监护人因预付式消费合同纠纷以被监护人名义起诉，请求经营者承担民事责任的，人民法院应当向监护人释明应以其本人名义起诉。</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被监护人因接受商品或者服务权益受到损害，起诉请求经营者承担责任的，人民法院应当依法受理。</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第四条  经营者允许他人使用其营业执照或者以其他方式允许他人使用其名义与消费者订立预付式消费合同，消费者请求经营者承担民事责任，经营者以其并非实际经营者为由提出抗辩的，人民法院对其抗辩不予支持。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第五条  同一品牌商业特许经营体系内企业标志或者注册商标使用权的特许人与消费者订立预付式消费合同，消费者因权益受到损害请求被特许人承担民事责任，存在下列情形之一的，人民法院应予支持：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lastRenderedPageBreak/>
        <w:t>（一）被特许人事先同意承担预付式消费合同义务；</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（二）被特许人事后追认预付式消费合同；</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（三）特许经营合同约定消费者可以直接请求被特许人向其履行债务；</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（四）被特许人的行为使消费者有理由相信其受预付式消费合同约束。</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消费者与被特许人订立预付式消费合同后，因权益受到损害请求特许人承担民事责任的，参照适用前款规定。</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不存在前两款规定情形，但特许人对消费者损失产生或者扩大有过错，消费者请求特许人根据其过错承担民事责任的，人民法院应予支持。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第六条  商场场地出租者未要求租赁商场场地的经营者提供经营资质证明、营业执照，致使不具有资质的经营者租赁其场地收取消费者预付款并造成消费者损失，消费者请求场地出租者根据其过错承担民事责任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场地出租者承担赔偿责任后，向租赁商场场地的经营者追偿的，人民法院应予支持。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第七条  经营者收取预付款后因经营困难不能按照合同约定兑付商品或者提供服务的，应当及时依法清算。经营者依法应当清算但未及时进行清算，造成消费者损失，消费者请求经营者的清算义务人依法承担民事责任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第八条  经营者未与消费者就商品或者服务的质量、价款、履行</w:t>
      </w:r>
      <w:r w:rsidRPr="005E482D">
        <w:rPr>
          <w:rFonts w:ascii="仿宋" w:eastAsia="仿宋" w:hAnsi="仿宋" w:hint="eastAsia"/>
          <w:sz w:val="28"/>
          <w:szCs w:val="28"/>
        </w:rPr>
        <w:lastRenderedPageBreak/>
        <w:t>期限、履行地点和履行方式等内容订立书面合同或者虽订立书面合同但对合同内容约定不明，依照民法典第五百一十条、第五百一十一条等规定对合同内容可以作出两种以上解释，消费者主张就合同内容作出对其有利的解释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第九条  消费者依照消费者权益保护法第二十六条、民法典第四百九十七条等法律规定，主张经营者提供的下列格式条款无效的，人民法院应予支持：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（一）排除消费者依法解除合同或者请求返还预付款的权利；</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（二）不合理地限制消费者转让预付式消费合同债权；</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（三）约定消费者遗失记名预付卡后不补办；</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（四）约定经营者有权单方变更兑付商品或者提供服务的价款、种类、质量、数量等合同实质性内容；</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（五）免除经营者对所兑付商品或者提供服务的瑕疵担保责任或者造成消费者损失的赔偿责任；</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（六）约定的解决争议方法不合理增加消费者维权成本；</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（七）存在其他排除或者限制消费者权利、减轻或者免除经营者责任、加重消费者责任等对消费者不公平、不合理情形。</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第十条  无民事行为能力人与经营者订立预付式消费合同，向经营者支付预付款，法定代理人请求确认合同无效、经营者返还预付款的，人民法院应予支持。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限制民事行为能力人与经营者订立预付式消费合同，向经营者支付预付款，法定代理人请求确认合同无效、经营者返还预付款的，人</w:t>
      </w:r>
      <w:r w:rsidRPr="005E482D">
        <w:rPr>
          <w:rFonts w:ascii="仿宋" w:eastAsia="仿宋" w:hAnsi="仿宋" w:hint="eastAsia"/>
          <w:sz w:val="28"/>
          <w:szCs w:val="28"/>
        </w:rPr>
        <w:lastRenderedPageBreak/>
        <w:t>民法院应予支持，但该合同经法定代理人同意、追认或者预付款金额等合同内容与限制民事行为能力人的年龄、智力相适应的除外。</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经营者主张从预付款中抵扣已经兑付商品或者提供服务价款的，人民法院依法予以支持，但经营者违反法律规定向未成年人提供网络付费游戏等服务的除外。</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第十一条  消费者转让预付式消费合同债权的，自债权转让通知到达经营者时对经营者发生法律效力。债权转让对经营者发生效力后，受让人请求经营者依据预付式消费合同约定兑付商品或者提供服务的，人民法院依法予以支持。受让人请求经营者提供预付卡更名、修改密码等服务的，人民法院依法予以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预付式消费合同约定经营者在履行期限内向消费者提供不限次数服务，消费者违反诚实信用原则，以债权转让的名义让多名消费者行使本应由一名消费者行使的权利、损害经营者利益，经营者主张债权转让行为对其不发生效力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第十二条  经营者与消费者订立预付式消费合同后，未经消费者同意，单方提高商品或者服务的价格、降低商品或者服务的质量，消费者请求经营者按合同约定履行义务并承担相应违约责任的，人民法院应予支持。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第十三条  消费者请求解除预付式消费合同，经营者存在下列情形之一的，人民法院应予支持：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（一）变更经营场所给消费者接受商品或者服务造成明显不便；</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（二）未经消费者同意将预付式消费合同义务转移给第三人；</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lastRenderedPageBreak/>
        <w:t>（三）承诺在合同约定期限内提供不限次数服务却不能正常提供；</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（四）法律规定或者合同约定消费者享有解除合同权利的其他情形。</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预付式消费合同成立后，消费者身体健康等合同的基础条件发生了当事人在订立合同时无法预见、不属于商业风险的重大变化，继续履行合同对于消费者明显不公平的，消费者可以与经营者重新协商；在合理期限内协商不成，消费者请求人民法院变更或者解除预付式消费合同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第十四条  消费者自付款之日起七日内请求经营者返还预付款本金的，人民法院应予支持，但存在下列情形之一的除外：</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（一）消费者订立预付式消费合同时已经从经营者处获得过相同商品或者服务；</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（二）消费者订立预付式消费合同时已经从其他经营者处获得过相同商品或者服务。</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当事人就消费者无理由退款作出对消费者更有利的约定的，按照约定处理。</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第十五条  预付式消费合同解除、无效、被撤销或者确定不发生效力，消费者请求经营者返还剩余预付款并支付利息的，人民法院应予支持。返还预付款本金应为预付款扣减已兑付商品或者提供服务的价款后的余额。</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预付式消费合同解除、无效、被撤销或者确定不发生效力，当事人依照民法典第一百五十七条、第五百六十六条等规定请求赔偿其支</w:t>
      </w:r>
      <w:r w:rsidRPr="005E482D">
        <w:rPr>
          <w:rFonts w:ascii="仿宋" w:eastAsia="仿宋" w:hAnsi="仿宋" w:hint="eastAsia"/>
          <w:sz w:val="28"/>
          <w:szCs w:val="28"/>
        </w:rPr>
        <w:lastRenderedPageBreak/>
        <w:t>付的合理费用等损失的，人民法院应予支持，但当事人因不可抗力或者情势变更解除合同的除外。</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经营者支付给员工等人员的预付款提成不属于前款规定的合理费用。</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第十六条  当事人对返还预付款利息计付标准有约定的，按照约定处理。没有约定或者约定不明，因经营者原因返还预付款的，按照预付式消费合同成立时一年期贷款市场报价利率计算利息；因消费者原因返还预付款的，按照预付式消费合同成立时中国人民银行公布的一年定期存款基准利率计算利息。</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经营者依照行政主管部门要求已将预付款转入监管账户，消费者请求按被监管资金的实际利率计算应返还的被监管部分预付款利息的，人民法院应予支持。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第十七条  预付式消费合同解除、无效、被撤销或者确定不发生效力，消费者请求返还预付款的，自合同解除、被确认无效、被撤销或者确定不发生效力时起计算利息。</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当事人就返还预付款利息起算时间作出对消费者更有利的约定或者法律另有规定的，按照当事人约定或者法律规定处理。</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第十八条  非因消费者原因返还预付款的，人民法院按下列方式计算已兑付商品或者提供服务的价款：</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（一）经营者向消费者提供折扣商品或者服务的，按折扣价计算已兑付商品或者提供服务的价款；</w:t>
      </w:r>
    </w:p>
    <w:p w:rsidR="005E482D" w:rsidRPr="005E482D" w:rsidRDefault="005E482D" w:rsidP="005E482D">
      <w:pPr>
        <w:ind w:firstLineChars="250" w:firstLine="700"/>
        <w:rPr>
          <w:rFonts w:ascii="仿宋" w:eastAsia="仿宋" w:hAnsi="仿宋" w:hint="eastAsia"/>
          <w:sz w:val="28"/>
          <w:szCs w:val="28"/>
        </w:rPr>
      </w:pPr>
      <w:r w:rsidRPr="005E482D">
        <w:rPr>
          <w:rFonts w:ascii="仿宋" w:eastAsia="仿宋" w:hAnsi="仿宋" w:hint="eastAsia"/>
          <w:sz w:val="28"/>
          <w:szCs w:val="28"/>
        </w:rPr>
        <w:t>（二）经营者向消费者赠送消费金额的，根据消费者实付金额</w:t>
      </w:r>
      <w:r w:rsidRPr="005E482D">
        <w:rPr>
          <w:rFonts w:ascii="仿宋" w:eastAsia="仿宋" w:hAnsi="仿宋" w:hint="eastAsia"/>
          <w:sz w:val="28"/>
          <w:szCs w:val="28"/>
        </w:rPr>
        <w:lastRenderedPageBreak/>
        <w:t>与实付金额加赠送金额之比计算优惠比例，按优惠比例计算已兑付商品或者提供服务的价款。</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当事人就已兑付商品或者提供服务折价作出对消费者更有利的约定的，按照约定处理。</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第十九条  因消费者原因返还预付款，经营者向消费者提供折扣商品、服务或者向消费者赠送消费金额的，人民法院应当按商品或者服务打折前的价格计算已兑付商品或者提供服务的价款。</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消费者主张打折前的价格明显不合理，经营者不能提供打折前价格交易记录的，人民法院可以按照订立合同时履行地同类商品或者服务的市场价格计算已兑付商品或者提供服务的价款。</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当事人就已兑付商品或者提供服务折价作出对消费者更有利的约定的，按照约定处理。</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第二十条  按折扣价或者优惠比例计算已兑付商品或者提供服务的价款未超出消费者预付款，但按打折前的价格计算已兑付商品或者提供服务的价款超出消费者预付款，经营者请求消费者支付按打折前的价格计算超出预付款部分价款的，人民法院不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第二十一条  经营者向消费者赠送商品或者服务，消费者在预付式消费合同解除、无效、被撤销、确定不发生效力后请求返还剩余预付款，经营者主张消费者返还或者折价补偿已经赠送的商品或者服务的，人民法院应当综合考虑已经赠送的商品或者服务的价值、预付式消费合同标的金额、合同履行情况、退款原因等因素，依照诚实信用原则对是否支持经营者主张作出认定。</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lastRenderedPageBreak/>
        <w:t>第二十二条  预付式消费合同约定经营者在履行期限内向消费者提供不限次数服务，消费者请求按合同解除后的剩余履行期限与全部履行期限的比例计算应予返还的预付款的，人民法院应予支持。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经营者在预付式消费合同解除前已经停止提供商品或者服务，消费者请求按经营者停止提供商品或者服务后的剩余履行期限与全部履行期限的比例计算应予返还的预付款的，人民法院应予支持。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消费者因自身原因未在合同约定履行期限内要求经营者提供服务，请求返还预付款的，人民法院不予支持。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第二十三条  经营者收取预付款后终止营业，既不按照约定兑付商品或者提供服务又恶意逃避消费者申请退款，消费者请求经营者承担惩罚性赔偿责任的，人民法院依法予以支持。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经营者行为涉嫌刑事犯罪的，人民法院应当将犯罪线索移送公安机关。</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第二十四条  消费者请求经营者对尚有资金余额的预付卡提供激活、换卡等服务的，人民法院应予支持。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消费者请求经营者对尚有资金余额的记名预付卡提供挂失和补办服务的，人民法院应予支持。</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第二十五条  经营者控制合同文本或者记录消费内容、消费次数、消费金额、预付款余额等信息的证据，无正当理由拒不提交，消费者主张该证据的内容不利于经营者的，人民法院可以根据消费者的主张认定争议事实。</w:t>
      </w:r>
    </w:p>
    <w:p w:rsidR="005E482D" w:rsidRPr="005E482D" w:rsidRDefault="005E482D" w:rsidP="005E482D">
      <w:pPr>
        <w:ind w:firstLineChars="200" w:firstLine="560"/>
        <w:rPr>
          <w:rFonts w:ascii="仿宋" w:eastAsia="仿宋" w:hAnsi="仿宋" w:hint="eastAsia"/>
          <w:sz w:val="28"/>
          <w:szCs w:val="28"/>
        </w:rPr>
      </w:pPr>
      <w:r w:rsidRPr="005E482D">
        <w:rPr>
          <w:rFonts w:ascii="仿宋" w:eastAsia="仿宋" w:hAnsi="仿宋" w:hint="eastAsia"/>
          <w:sz w:val="28"/>
          <w:szCs w:val="28"/>
        </w:rPr>
        <w:t>第二十六条  本解释所称预付卡为单用途商业预付卡，包括以磁</w:t>
      </w:r>
      <w:r w:rsidRPr="005E482D">
        <w:rPr>
          <w:rFonts w:ascii="仿宋" w:eastAsia="仿宋" w:hAnsi="仿宋" w:hint="eastAsia"/>
          <w:sz w:val="28"/>
          <w:szCs w:val="28"/>
        </w:rPr>
        <w:lastRenderedPageBreak/>
        <w:t>条卡、芯片卡、纸券等为载体的实体卡和以密码、串码、图形、生物特征信息等为载体的虚拟卡。</w:t>
      </w:r>
    </w:p>
    <w:p w:rsidR="005E482D" w:rsidRPr="005E482D" w:rsidRDefault="005E482D" w:rsidP="005E482D">
      <w:pPr>
        <w:rPr>
          <w:rFonts w:ascii="仿宋" w:eastAsia="仿宋" w:hAnsi="仿宋" w:hint="eastAsia"/>
          <w:sz w:val="28"/>
          <w:szCs w:val="28"/>
        </w:rPr>
      </w:pPr>
      <w:r w:rsidRPr="005E482D">
        <w:rPr>
          <w:rFonts w:ascii="仿宋" w:eastAsia="仿宋" w:hAnsi="仿宋" w:hint="eastAsia"/>
          <w:sz w:val="28"/>
          <w:szCs w:val="28"/>
        </w:rPr>
        <w:t>因多用途预付卡产生的纠纷不适用本解释。</w:t>
      </w:r>
    </w:p>
    <w:p w:rsidR="005E482D" w:rsidRPr="005E482D" w:rsidRDefault="005E482D" w:rsidP="005E482D">
      <w:pPr>
        <w:ind w:firstLineChars="200" w:firstLine="560"/>
        <w:rPr>
          <w:rFonts w:hint="eastAsia"/>
          <w:szCs w:val="30"/>
        </w:rPr>
      </w:pPr>
      <w:r w:rsidRPr="005E482D">
        <w:rPr>
          <w:rFonts w:ascii="仿宋" w:eastAsia="仿宋" w:hAnsi="仿宋" w:hint="eastAsia"/>
          <w:sz w:val="28"/>
          <w:szCs w:val="28"/>
        </w:rPr>
        <w:t>第二十七条  本解释自2025年5月1日起施行。</w:t>
      </w:r>
    </w:p>
    <w:p w:rsidR="005E482D" w:rsidRPr="005E482D" w:rsidRDefault="005E482D" w:rsidP="00577633">
      <w:pPr>
        <w:rPr>
          <w:szCs w:val="30"/>
        </w:rPr>
      </w:pPr>
    </w:p>
    <w:sectPr w:rsidR="005E482D" w:rsidRPr="005E482D" w:rsidSect="00BE71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88E" w:rsidRDefault="00F5788E" w:rsidP="001E7EB2">
      <w:r>
        <w:separator/>
      </w:r>
    </w:p>
  </w:endnote>
  <w:endnote w:type="continuationSeparator" w:id="1">
    <w:p w:rsidR="00F5788E" w:rsidRDefault="00F5788E" w:rsidP="001E7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88E" w:rsidRDefault="00F5788E" w:rsidP="001E7EB2">
      <w:r>
        <w:separator/>
      </w:r>
    </w:p>
  </w:footnote>
  <w:footnote w:type="continuationSeparator" w:id="1">
    <w:p w:rsidR="00F5788E" w:rsidRDefault="00F5788E" w:rsidP="001E7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BD5F34"/>
    <w:multiLevelType w:val="singleLevel"/>
    <w:tmpl w:val="FBBD5F34"/>
    <w:lvl w:ilvl="0">
      <w:start w:val="1"/>
      <w:numFmt w:val="chineseCounting"/>
      <w:suff w:val="nothing"/>
      <w:lvlText w:val="%1、"/>
      <w:lvlJc w:val="left"/>
      <w:rPr>
        <w:rFonts w:hint="eastAsia"/>
      </w:rPr>
    </w:lvl>
  </w:abstractNum>
  <w:abstractNum w:abstractNumId="1">
    <w:nsid w:val="05CA3D61"/>
    <w:multiLevelType w:val="hybridMultilevel"/>
    <w:tmpl w:val="03BA43F2"/>
    <w:lvl w:ilvl="0" w:tplc="2EDC0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49F"/>
    <w:rsid w:val="00054757"/>
    <w:rsid w:val="00062062"/>
    <w:rsid w:val="00097A0D"/>
    <w:rsid w:val="000E786B"/>
    <w:rsid w:val="000F55C3"/>
    <w:rsid w:val="00103166"/>
    <w:rsid w:val="001049CB"/>
    <w:rsid w:val="00126A5E"/>
    <w:rsid w:val="00142BB7"/>
    <w:rsid w:val="001D62D5"/>
    <w:rsid w:val="001E1645"/>
    <w:rsid w:val="001E1D7E"/>
    <w:rsid w:val="001E6BB4"/>
    <w:rsid w:val="001E7EB2"/>
    <w:rsid w:val="001F48A3"/>
    <w:rsid w:val="001F6A83"/>
    <w:rsid w:val="00261E9C"/>
    <w:rsid w:val="00262493"/>
    <w:rsid w:val="00273176"/>
    <w:rsid w:val="00273D8A"/>
    <w:rsid w:val="002A531E"/>
    <w:rsid w:val="002B0096"/>
    <w:rsid w:val="002B09EA"/>
    <w:rsid w:val="002F4274"/>
    <w:rsid w:val="003041CE"/>
    <w:rsid w:val="00312111"/>
    <w:rsid w:val="00312E4E"/>
    <w:rsid w:val="003164B2"/>
    <w:rsid w:val="0032069D"/>
    <w:rsid w:val="00355E71"/>
    <w:rsid w:val="00362B2A"/>
    <w:rsid w:val="003F66B7"/>
    <w:rsid w:val="004154D8"/>
    <w:rsid w:val="00431066"/>
    <w:rsid w:val="00440AA3"/>
    <w:rsid w:val="00440F5C"/>
    <w:rsid w:val="00441455"/>
    <w:rsid w:val="00456F02"/>
    <w:rsid w:val="00485750"/>
    <w:rsid w:val="00485BC9"/>
    <w:rsid w:val="004A08BE"/>
    <w:rsid w:val="004D23F9"/>
    <w:rsid w:val="004D589B"/>
    <w:rsid w:val="004E03ED"/>
    <w:rsid w:val="00513383"/>
    <w:rsid w:val="005357D4"/>
    <w:rsid w:val="00577633"/>
    <w:rsid w:val="005E482D"/>
    <w:rsid w:val="006103E2"/>
    <w:rsid w:val="0061092A"/>
    <w:rsid w:val="006141E8"/>
    <w:rsid w:val="006270E2"/>
    <w:rsid w:val="006740A7"/>
    <w:rsid w:val="00674980"/>
    <w:rsid w:val="006902A9"/>
    <w:rsid w:val="006978D4"/>
    <w:rsid w:val="006A5652"/>
    <w:rsid w:val="006B7683"/>
    <w:rsid w:val="006C1791"/>
    <w:rsid w:val="006F3402"/>
    <w:rsid w:val="00724F9B"/>
    <w:rsid w:val="007325BD"/>
    <w:rsid w:val="00740F72"/>
    <w:rsid w:val="00755D11"/>
    <w:rsid w:val="007846F8"/>
    <w:rsid w:val="007B4E95"/>
    <w:rsid w:val="0080248A"/>
    <w:rsid w:val="008147EC"/>
    <w:rsid w:val="00822398"/>
    <w:rsid w:val="00835C60"/>
    <w:rsid w:val="00845A29"/>
    <w:rsid w:val="00865E14"/>
    <w:rsid w:val="008856E7"/>
    <w:rsid w:val="008E76B7"/>
    <w:rsid w:val="009109C7"/>
    <w:rsid w:val="009334ED"/>
    <w:rsid w:val="00946245"/>
    <w:rsid w:val="00956B7E"/>
    <w:rsid w:val="0097427C"/>
    <w:rsid w:val="0098708A"/>
    <w:rsid w:val="0099149F"/>
    <w:rsid w:val="009B5668"/>
    <w:rsid w:val="009D06BF"/>
    <w:rsid w:val="009D2066"/>
    <w:rsid w:val="009F4552"/>
    <w:rsid w:val="00A416C2"/>
    <w:rsid w:val="00A6646E"/>
    <w:rsid w:val="00AA1AA8"/>
    <w:rsid w:val="00AC6322"/>
    <w:rsid w:val="00B24AD8"/>
    <w:rsid w:val="00B37F20"/>
    <w:rsid w:val="00B871F1"/>
    <w:rsid w:val="00BE7112"/>
    <w:rsid w:val="00C52BD1"/>
    <w:rsid w:val="00C57832"/>
    <w:rsid w:val="00D23B5D"/>
    <w:rsid w:val="00D85E55"/>
    <w:rsid w:val="00DB6CA9"/>
    <w:rsid w:val="00DC10EC"/>
    <w:rsid w:val="00DD4059"/>
    <w:rsid w:val="00DE6698"/>
    <w:rsid w:val="00E609DD"/>
    <w:rsid w:val="00E77E6C"/>
    <w:rsid w:val="00E81336"/>
    <w:rsid w:val="00EC6E93"/>
    <w:rsid w:val="00EC7DFD"/>
    <w:rsid w:val="00F415C7"/>
    <w:rsid w:val="00F5788E"/>
    <w:rsid w:val="00F62478"/>
    <w:rsid w:val="00F92836"/>
    <w:rsid w:val="00FD4DA7"/>
    <w:rsid w:val="0F113D5F"/>
    <w:rsid w:val="23567A9D"/>
    <w:rsid w:val="467D33C0"/>
    <w:rsid w:val="5A662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1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711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E71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E7112"/>
    <w:rPr>
      <w:sz w:val="18"/>
      <w:szCs w:val="18"/>
    </w:rPr>
  </w:style>
  <w:style w:type="character" w:customStyle="1" w:styleId="Char">
    <w:name w:val="页脚 Char"/>
    <w:basedOn w:val="a0"/>
    <w:link w:val="a3"/>
    <w:uiPriority w:val="99"/>
    <w:semiHidden/>
    <w:rsid w:val="00BE7112"/>
    <w:rPr>
      <w:sz w:val="18"/>
      <w:szCs w:val="18"/>
    </w:rPr>
  </w:style>
  <w:style w:type="paragraph" w:styleId="a5">
    <w:name w:val="Normal (Web)"/>
    <w:basedOn w:val="a"/>
    <w:qFormat/>
    <w:rsid w:val="001F6A83"/>
    <w:pPr>
      <w:spacing w:beforeAutospacing="1" w:afterAutospacing="1"/>
      <w:jc w:val="left"/>
    </w:pPr>
    <w:rPr>
      <w:rFonts w:ascii="Calibri" w:eastAsia="宋体" w:hAnsi="Calibri" w:cs="Times New Roman"/>
      <w:kern w:val="0"/>
      <w:sz w:val="24"/>
    </w:rPr>
  </w:style>
  <w:style w:type="paragraph" w:styleId="a6">
    <w:name w:val="List Paragraph"/>
    <w:basedOn w:val="a"/>
    <w:uiPriority w:val="34"/>
    <w:qFormat/>
    <w:rsid w:val="002B0096"/>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1084</Words>
  <Characters>6180</Characters>
  <Application>Microsoft Office Word</Application>
  <DocSecurity>0</DocSecurity>
  <Lines>51</Lines>
  <Paragraphs>14</Paragraphs>
  <ScaleCrop>false</ScaleCrop>
  <Company>china</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戈芊芊</cp:lastModifiedBy>
  <cp:revision>2</cp:revision>
  <cp:lastPrinted>2021-04-02T02:17:00Z</cp:lastPrinted>
  <dcterms:created xsi:type="dcterms:W3CDTF">2025-05-08T08:45:00Z</dcterms:created>
  <dcterms:modified xsi:type="dcterms:W3CDTF">2025-05-08T08:45:00Z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7727694831674F16B582744EC1AFF409</vt:lpwstr>
  </property>
</Properties>
</file>